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D2" w:rsidRPr="00787102" w:rsidRDefault="001F12D2" w:rsidP="001F12D2">
      <w:pPr>
        <w:rPr>
          <w:rFonts w:ascii="Tahoma" w:hAnsi="Tahoma" w:cs="Tahoma"/>
          <w:b/>
          <w:sz w:val="28"/>
          <w:szCs w:val="28"/>
        </w:rPr>
      </w:pPr>
      <w:r w:rsidRPr="00787102">
        <w:rPr>
          <w:rFonts w:ascii="Tahoma" w:hAnsi="Tahoma" w:cs="Tahoma"/>
          <w:b/>
          <w:sz w:val="28"/>
          <w:szCs w:val="28"/>
        </w:rPr>
        <w:t>Форма 15.8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4617"/>
        <w:gridCol w:w="884"/>
        <w:gridCol w:w="1073"/>
        <w:gridCol w:w="15"/>
        <w:gridCol w:w="1199"/>
        <w:gridCol w:w="47"/>
        <w:gridCol w:w="1329"/>
        <w:gridCol w:w="1385"/>
        <w:gridCol w:w="40"/>
        <w:gridCol w:w="974"/>
      </w:tblGrid>
      <w:tr w:rsidR="001F12D2" w:rsidRPr="009E5781" w:rsidTr="004949E0">
        <w:tc>
          <w:tcPr>
            <w:tcW w:w="3350" w:type="dxa"/>
            <w:shd w:val="clear" w:color="auto" w:fill="auto"/>
          </w:tcPr>
          <w:p w:rsidR="001F12D2" w:rsidRPr="00DA3878" w:rsidRDefault="001F12D2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A3878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4617" w:type="dxa"/>
            <w:shd w:val="clear" w:color="auto" w:fill="auto"/>
          </w:tcPr>
          <w:p w:rsidR="001F12D2" w:rsidRPr="00DA3878" w:rsidRDefault="001F12D2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1" w:type="dxa"/>
            <w:gridSpan w:val="4"/>
            <w:shd w:val="clear" w:color="auto" w:fill="auto"/>
          </w:tcPr>
          <w:p w:rsidR="001F12D2" w:rsidRPr="00DA3878" w:rsidRDefault="001F12D2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A3878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3775" w:type="dxa"/>
            <w:gridSpan w:val="5"/>
            <w:shd w:val="clear" w:color="auto" w:fill="auto"/>
          </w:tcPr>
          <w:p w:rsidR="001F12D2" w:rsidRPr="00DA3878" w:rsidRDefault="001F12D2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A3878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1F12D2" w:rsidRPr="009E5781" w:rsidTr="004949E0">
        <w:trPr>
          <w:trHeight w:val="101"/>
        </w:trPr>
        <w:tc>
          <w:tcPr>
            <w:tcW w:w="7967" w:type="dxa"/>
            <w:gridSpan w:val="2"/>
            <w:shd w:val="clear" w:color="auto" w:fill="auto"/>
          </w:tcPr>
          <w:p w:rsidR="001F12D2" w:rsidRPr="00DA3878" w:rsidRDefault="001F12D2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A3878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1F12D2" w:rsidRPr="00DA3878" w:rsidRDefault="001F12D2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12D2" w:rsidRPr="009E5781" w:rsidTr="004949E0">
        <w:trPr>
          <w:trHeight w:val="132"/>
        </w:trPr>
        <w:tc>
          <w:tcPr>
            <w:tcW w:w="7967" w:type="dxa"/>
            <w:gridSpan w:val="2"/>
            <w:shd w:val="clear" w:color="auto" w:fill="auto"/>
          </w:tcPr>
          <w:p w:rsidR="001F12D2" w:rsidRPr="00DA3878" w:rsidRDefault="001F12D2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A3878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1F12D2" w:rsidRPr="00DA3878" w:rsidRDefault="001F12D2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12D2" w:rsidRPr="009E5781" w:rsidTr="004949E0">
        <w:tc>
          <w:tcPr>
            <w:tcW w:w="7967" w:type="dxa"/>
            <w:gridSpan w:val="2"/>
            <w:shd w:val="clear" w:color="auto" w:fill="auto"/>
          </w:tcPr>
          <w:p w:rsidR="001F12D2" w:rsidRPr="00DA3878" w:rsidRDefault="001F12D2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A3878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1F12D2" w:rsidRPr="00DA3878" w:rsidRDefault="001F12D2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12D2" w:rsidRPr="00AE1ED8" w:rsidTr="004949E0">
        <w:trPr>
          <w:trHeight w:val="192"/>
        </w:trPr>
        <w:tc>
          <w:tcPr>
            <w:tcW w:w="1491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D2" w:rsidRPr="00AE1ED8" w:rsidRDefault="001F12D2" w:rsidP="001F12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1F12D2" w:rsidRPr="00604027" w:rsidTr="004949E0">
        <w:trPr>
          <w:trHeight w:val="264"/>
        </w:trPr>
        <w:tc>
          <w:tcPr>
            <w:tcW w:w="7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2D2" w:rsidRPr="00A565F0" w:rsidRDefault="001F12D2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1F12D2" w:rsidRPr="00604027" w:rsidRDefault="001F12D2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:rsidR="001F12D2" w:rsidRPr="003B706F" w:rsidRDefault="001F12D2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12D2" w:rsidRPr="00604027" w:rsidRDefault="001F12D2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</w:tcPr>
          <w:p w:rsidR="001F12D2" w:rsidRPr="00604027" w:rsidRDefault="001F12D2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</w:tcPr>
          <w:p w:rsidR="001F12D2" w:rsidRPr="00604027" w:rsidRDefault="001F12D2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2D2" w:rsidRPr="00604027" w:rsidRDefault="001F12D2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1F12D2" w:rsidRPr="003B706F" w:rsidTr="004949E0">
        <w:trPr>
          <w:trHeight w:val="98"/>
        </w:trPr>
        <w:tc>
          <w:tcPr>
            <w:tcW w:w="796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12D2" w:rsidRPr="003B706F" w:rsidRDefault="001F12D2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946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1F12D2" w:rsidRPr="003B706F" w:rsidRDefault="001F12D2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12D2" w:rsidRPr="00AE1ED8" w:rsidTr="004949E0">
        <w:trPr>
          <w:trHeight w:val="174"/>
        </w:trPr>
        <w:tc>
          <w:tcPr>
            <w:tcW w:w="1491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D2" w:rsidRPr="00AE1ED8" w:rsidRDefault="001F12D2" w:rsidP="001F1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1F12D2" w:rsidRPr="003B706F" w:rsidTr="004949E0">
        <w:trPr>
          <w:trHeight w:val="543"/>
        </w:trPr>
        <w:tc>
          <w:tcPr>
            <w:tcW w:w="7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2D2" w:rsidRPr="003B706F" w:rsidRDefault="001F12D2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F12D2" w:rsidRPr="003B706F" w:rsidRDefault="001F12D2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12D2" w:rsidRPr="00604027" w:rsidTr="004949E0">
        <w:trPr>
          <w:trHeight w:val="275"/>
        </w:trPr>
        <w:tc>
          <w:tcPr>
            <w:tcW w:w="7967" w:type="dxa"/>
            <w:gridSpan w:val="2"/>
            <w:shd w:val="clear" w:color="auto" w:fill="auto"/>
          </w:tcPr>
          <w:p w:rsidR="001F12D2" w:rsidRPr="00604027" w:rsidRDefault="001F12D2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1F12D2" w:rsidRPr="00604027" w:rsidRDefault="001F12D2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12D2" w:rsidRPr="00604027" w:rsidTr="004949E0">
        <w:trPr>
          <w:trHeight w:val="333"/>
        </w:trPr>
        <w:tc>
          <w:tcPr>
            <w:tcW w:w="7967" w:type="dxa"/>
            <w:gridSpan w:val="2"/>
            <w:shd w:val="clear" w:color="auto" w:fill="auto"/>
          </w:tcPr>
          <w:p w:rsidR="001F12D2" w:rsidRDefault="001F12D2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884" w:type="dxa"/>
            <w:shd w:val="clear" w:color="auto" w:fill="auto"/>
          </w:tcPr>
          <w:p w:rsidR="001F12D2" w:rsidRPr="003B706F" w:rsidRDefault="001F12D2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1F12D2" w:rsidRPr="003B706F" w:rsidRDefault="001F12D2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1F12D2" w:rsidRPr="003B706F" w:rsidRDefault="001F12D2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9" w:type="dxa"/>
            <w:shd w:val="clear" w:color="auto" w:fill="auto"/>
          </w:tcPr>
          <w:p w:rsidR="001F12D2" w:rsidRPr="00604027" w:rsidRDefault="001F12D2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F12D2" w:rsidRPr="00604027" w:rsidRDefault="001F12D2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74" w:type="dxa"/>
            <w:shd w:val="clear" w:color="auto" w:fill="auto"/>
          </w:tcPr>
          <w:p w:rsidR="001F12D2" w:rsidRPr="00604027" w:rsidRDefault="001F12D2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1F12D2" w:rsidRPr="009E5781" w:rsidRDefault="001F12D2" w:rsidP="001F12D2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15.8. Информация о государственной регистрации дополнительного выпуска облигаций (присвоении биржей идентификационного номера дополнительному выпуску биржевых облигаций) (</w:t>
      </w:r>
      <w:r w:rsidRPr="009E5781">
        <w:rPr>
          <w:rFonts w:ascii="Tahoma" w:hAnsi="Tahoma" w:cs="Tahoma"/>
          <w:b/>
          <w:sz w:val="28"/>
          <w:szCs w:val="28"/>
          <w:lang w:val="en-US"/>
        </w:rPr>
        <w:t>OTHR</w:t>
      </w:r>
      <w:r w:rsidRPr="009E5781">
        <w:rPr>
          <w:rFonts w:ascii="Tahoma" w:hAnsi="Tahoma" w:cs="Tahoma"/>
          <w:b/>
          <w:sz w:val="28"/>
          <w:szCs w:val="28"/>
        </w:rPr>
        <w:t>)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25"/>
        <w:gridCol w:w="6736"/>
      </w:tblGrid>
      <w:tr w:rsidR="001F12D2" w:rsidRPr="00D44DC3" w:rsidTr="004949E0">
        <w:trPr>
          <w:trHeight w:hRule="exact" w:val="585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Вид, категория (тип), серия и иные идентификационные признаки ценных бумаг: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rPr>
                <w:rFonts w:ascii="Tahoma" w:hAnsi="Tahoma" w:cs="Tahoma"/>
              </w:rPr>
            </w:pPr>
          </w:p>
        </w:tc>
      </w:tr>
      <w:tr w:rsidR="001F12D2" w:rsidRPr="00D44DC3" w:rsidTr="004949E0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Срок погашения (для облигаций и опционов эмитента):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F12D2" w:rsidRPr="00D44DC3" w:rsidTr="004949E0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Р</w:t>
            </w:r>
            <w:r w:rsidRPr="00D44DC3">
              <w:rPr>
                <w:rFonts w:ascii="Tahoma" w:hAnsi="Tahoma" w:cs="Tahoma"/>
              </w:rPr>
              <w:t>егистрационный/идентификационный номер выпуска (дополнительного выпуска) ценных бумаг и дата государственной регистрации/дата присвоения: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F12D2" w:rsidRPr="00D44DC3" w:rsidTr="004949E0">
        <w:trPr>
          <w:trHeight w:val="46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Наименование регистрирующего органа, осуществившего государственную регистрацию выпуска (дополнительного выпуска) ценных бумаг/наименование органа (организации), присвоившего выпуску (дополнительному выпуску) ценных бумаг идентификационный номер: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F12D2" w:rsidRPr="00D44DC3" w:rsidTr="004949E0">
        <w:trPr>
          <w:trHeight w:val="46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lastRenderedPageBreak/>
              <w:t>Количество размещаемых ценных бумаг и номинальная стоимость каждой ценной бумаги: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F12D2" w:rsidRPr="00D44DC3" w:rsidTr="004949E0">
        <w:trPr>
          <w:trHeight w:val="46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Способ размещения ценных бумаг, а в случае размещения ценных бумаг посредством закрытой подписки также круг потенциальных приобретателей ценных бумаг: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F12D2" w:rsidRPr="00D44DC3" w:rsidTr="004949E0">
        <w:trPr>
          <w:trHeight w:val="46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 xml:space="preserve"> В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F12D2" w:rsidRPr="00D44DC3" w:rsidTr="004949E0">
        <w:trPr>
          <w:trHeight w:val="46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Цена размещения ценных бумаг, размещаемых путем подписки,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(дополнительного выпуска)/присвоения выпуску (дополнительному выпуску) ценных бумаг идентификационного номера и не позднее даты начала размещения ценных бумаг: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F12D2" w:rsidRPr="00D44DC3" w:rsidTr="004949E0">
        <w:trPr>
          <w:trHeight w:val="35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Срок размещения ценных бумаг или порядок его определения: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F12D2" w:rsidRPr="00D44DC3" w:rsidTr="004949E0">
        <w:trPr>
          <w:trHeight w:val="46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Факт регистрации (отсутствия регистрации) проспекта ценных бумаг одновременно с государственной регистрацией выпуска (дополнительного выпуска) этих ценных бумаг/факт представления бирже (отсутствия представления бирже) проспекта ценных бумаг в случае, если ценными бумагами являются биржевые облигации или российские депозитарные расписки: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F12D2" w:rsidRPr="00D44DC3" w:rsidTr="004949E0">
        <w:trPr>
          <w:trHeight w:val="46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В случае регистрации проспекта ценных бумаг/представления бирже проспекта биржевых облигаций или российских депозитарных расписок  порядок обеспечения доступа к информации, содержащейся в проспекте ценных бумаг: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F12D2" w:rsidRPr="00D44DC3" w:rsidTr="004949E0">
        <w:trPr>
          <w:trHeight w:val="46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lastRenderedPageBreak/>
              <w:t>В случае если ценные бумаги выпуска (дополнительного выпуска), допущенные (допускаемые) к организованным торгам, размещаются путем открытой подписки с их оплатой деньгами или ценными бумагами, допущенными к организованным торгам, сведения о намерении эмитента представить в регистрирующий орган после завершения размещения ценных бумаг отчет об итогах выпуска (дополнительного выпуска) ценных бумаг или уведомление об итогах выпуска (дополнительного выпуска) ценных бумаг: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2" w:rsidRPr="00D44DC3" w:rsidRDefault="001F12D2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F759F9" w:rsidRDefault="00F759F9"/>
    <w:sectPr w:rsidR="00F759F9" w:rsidSect="001F12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D2"/>
    <w:rsid w:val="001F12D2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9E98"/>
  <w15:chartTrackingRefBased/>
  <w15:docId w15:val="{AC19979E-1E26-407C-A953-A1EAABFE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1F12D2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1F12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Юлия Андреевна</dc:creator>
  <cp:keywords/>
  <dc:description/>
  <cp:lastModifiedBy>Фокина Юлия Андреевна</cp:lastModifiedBy>
  <cp:revision>1</cp:revision>
  <dcterms:created xsi:type="dcterms:W3CDTF">2020-01-13T15:51:00Z</dcterms:created>
  <dcterms:modified xsi:type="dcterms:W3CDTF">2020-01-13T15:51:00Z</dcterms:modified>
</cp:coreProperties>
</file>