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065" w:rsidRPr="00BE66AE" w:rsidRDefault="00F61065" w:rsidP="00F61065">
      <w:pPr>
        <w:pStyle w:val="1"/>
        <w:jc w:val="right"/>
      </w:pPr>
      <w:r w:rsidRPr="00BE66AE">
        <w:t>Приложение 6</w:t>
      </w:r>
    </w:p>
    <w:p w:rsidR="00F61065" w:rsidRPr="00BE66AE" w:rsidRDefault="00F61065" w:rsidP="00F61065">
      <w:pPr>
        <w:spacing w:after="120"/>
        <w:jc w:val="both"/>
        <w:rPr>
          <w:rFonts w:ascii="Times New Roman" w:hAnsi="Times New Roman" w:cs="Times New Roman"/>
          <w:sz w:val="24"/>
          <w:szCs w:val="24"/>
        </w:rPr>
      </w:pPr>
    </w:p>
    <w:p w:rsidR="00F61065" w:rsidRPr="00BE66AE" w:rsidRDefault="00F61065" w:rsidP="00F61065">
      <w:pPr>
        <w:contextualSpacing/>
        <w:jc w:val="center"/>
        <w:rPr>
          <w:rFonts w:eastAsia="Times New Roman" w:cs="Times New Roman"/>
          <w:szCs w:val="24"/>
        </w:rPr>
      </w:pPr>
      <w:r w:rsidRPr="00BE66AE">
        <w:rPr>
          <w:rFonts w:eastAsia="Times New Roman" w:cs="Times New Roman"/>
          <w:szCs w:val="24"/>
        </w:rPr>
        <w:t>Заявление о выплате по ценным бумагам</w:t>
      </w:r>
    </w:p>
    <w:p w:rsidR="00F61065" w:rsidRPr="00BE66AE" w:rsidRDefault="00F61065" w:rsidP="00F61065">
      <w:pPr>
        <w:contextualSpacing/>
        <w:rPr>
          <w:rFonts w:eastAsia="Times New Roman" w:cs="Times New Roman"/>
          <w:szCs w:val="24"/>
        </w:rPr>
      </w:pPr>
    </w:p>
    <w:p w:rsidR="00F61065" w:rsidRPr="00BE66AE" w:rsidRDefault="00F61065" w:rsidP="00F61065">
      <w:pPr>
        <w:tabs>
          <w:tab w:val="left" w:pos="1134"/>
          <w:tab w:val="left" w:pos="9214"/>
        </w:tabs>
        <w:ind w:left="851" w:right="-1" w:hanging="851"/>
        <w:jc w:val="both"/>
        <w:rPr>
          <w:rFonts w:ascii="Times New Roman" w:hAnsi="Times New Roman" w:cs="Times New Roman"/>
          <w:sz w:val="24"/>
          <w:szCs w:val="24"/>
        </w:rPr>
      </w:pPr>
      <w:r w:rsidRPr="00BE66AE">
        <w:rPr>
          <w:rFonts w:ascii="Times New Roman" w:hAnsi="Times New Roman" w:cs="Times New Roman"/>
          <w:sz w:val="24"/>
          <w:szCs w:val="24"/>
        </w:rPr>
        <w:t>Прошу НКО АО НРД перечислить выплаты по ценным бумагам:</w:t>
      </w:r>
    </w:p>
    <w:tbl>
      <w:tblPr>
        <w:tblStyle w:val="a3"/>
        <w:tblW w:w="9243" w:type="dxa"/>
        <w:tblInd w:w="108" w:type="dxa"/>
        <w:tblLayout w:type="fixed"/>
        <w:tblLook w:val="04A0" w:firstRow="1" w:lastRow="0" w:firstColumn="1" w:lastColumn="0" w:noHBand="0" w:noVBand="1"/>
      </w:tblPr>
      <w:tblGrid>
        <w:gridCol w:w="880"/>
        <w:gridCol w:w="3827"/>
        <w:gridCol w:w="4536"/>
      </w:tblGrid>
      <w:tr w:rsidR="00F61065" w:rsidRPr="00BE66AE" w:rsidTr="00CB432F">
        <w:tc>
          <w:tcPr>
            <w:tcW w:w="880" w:type="dxa"/>
          </w:tcPr>
          <w:p w:rsidR="00F61065" w:rsidRPr="00BE66AE" w:rsidRDefault="00F61065" w:rsidP="00F61065">
            <w:pPr>
              <w:pStyle w:val="a6"/>
              <w:numPr>
                <w:ilvl w:val="0"/>
                <w:numId w:val="2"/>
              </w:numPr>
              <w:tabs>
                <w:tab w:val="left" w:pos="360"/>
                <w:tab w:val="left" w:pos="1134"/>
                <w:tab w:val="left" w:pos="2160"/>
                <w:tab w:val="left" w:pos="9356"/>
              </w:tabs>
              <w:spacing w:after="0" w:line="240" w:lineRule="auto"/>
              <w:ind w:right="-1"/>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Наименование эмитента ценных бумаг (полное, сокращенное)</w:t>
            </w:r>
          </w:p>
        </w:tc>
        <w:tc>
          <w:tcPr>
            <w:tcW w:w="4536"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ISIN код ценных бумаг</w:t>
            </w:r>
          </w:p>
        </w:tc>
        <w:tc>
          <w:tcPr>
            <w:tcW w:w="4536"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Вид ценных бумаг</w:t>
            </w:r>
          </w:p>
        </w:tc>
        <w:tc>
          <w:tcPr>
            <w:tcW w:w="4536"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 xml:space="preserve">Вид выплаты по ценным бумагам </w:t>
            </w:r>
          </w:p>
        </w:tc>
        <w:tc>
          <w:tcPr>
            <w:tcW w:w="4536" w:type="dxa"/>
          </w:tcPr>
          <w:p w:rsidR="00F61065" w:rsidRPr="00BE66AE" w:rsidRDefault="00F61065" w:rsidP="00F61065">
            <w:pPr>
              <w:pStyle w:val="a6"/>
              <w:numPr>
                <w:ilvl w:val="0"/>
                <w:numId w:val="1"/>
              </w:numPr>
              <w:tabs>
                <w:tab w:val="left" w:pos="67"/>
                <w:tab w:val="left" w:pos="1134"/>
                <w:tab w:val="left" w:pos="2160"/>
                <w:tab w:val="left" w:pos="9356"/>
              </w:tabs>
              <w:spacing w:before="0"/>
              <w:ind w:left="465" w:right="-1" w:hanging="425"/>
              <w:jc w:val="both"/>
              <w:rPr>
                <w:rFonts w:ascii="Times New Roman" w:hAnsi="Times New Roman" w:cs="Times New Roman"/>
                <w:sz w:val="24"/>
                <w:szCs w:val="24"/>
              </w:rPr>
            </w:pPr>
            <w:r w:rsidRPr="00BE66AE">
              <w:rPr>
                <w:rFonts w:ascii="Times New Roman" w:hAnsi="Times New Roman" w:cs="Times New Roman"/>
                <w:sz w:val="24"/>
                <w:szCs w:val="24"/>
              </w:rPr>
              <w:t xml:space="preserve">Дивиденды </w:t>
            </w:r>
          </w:p>
          <w:p w:rsidR="00F61065" w:rsidRPr="00BE66AE" w:rsidRDefault="00F61065" w:rsidP="00F61065">
            <w:pPr>
              <w:pStyle w:val="a6"/>
              <w:numPr>
                <w:ilvl w:val="0"/>
                <w:numId w:val="1"/>
              </w:numPr>
              <w:tabs>
                <w:tab w:val="left" w:pos="67"/>
                <w:tab w:val="left" w:pos="1134"/>
                <w:tab w:val="left" w:pos="2160"/>
                <w:tab w:val="left" w:pos="9356"/>
              </w:tabs>
              <w:spacing w:before="0"/>
              <w:ind w:left="465" w:right="-1" w:hanging="425"/>
              <w:jc w:val="both"/>
              <w:rPr>
                <w:rFonts w:ascii="Times New Roman" w:hAnsi="Times New Roman" w:cs="Times New Roman"/>
                <w:sz w:val="24"/>
                <w:szCs w:val="24"/>
              </w:rPr>
            </w:pPr>
            <w:r w:rsidRPr="00BE66AE">
              <w:rPr>
                <w:rFonts w:ascii="Times New Roman" w:hAnsi="Times New Roman" w:cs="Times New Roman"/>
                <w:sz w:val="24"/>
                <w:szCs w:val="24"/>
              </w:rPr>
              <w:t>Купонный (процентный) доход</w:t>
            </w:r>
          </w:p>
          <w:p w:rsidR="00F61065" w:rsidRPr="00BE66AE" w:rsidRDefault="00F61065" w:rsidP="00F61065">
            <w:pPr>
              <w:pStyle w:val="a6"/>
              <w:numPr>
                <w:ilvl w:val="0"/>
                <w:numId w:val="1"/>
              </w:numPr>
              <w:tabs>
                <w:tab w:val="left" w:pos="67"/>
                <w:tab w:val="left" w:pos="1134"/>
                <w:tab w:val="left" w:pos="2160"/>
                <w:tab w:val="left" w:pos="9356"/>
              </w:tabs>
              <w:spacing w:before="0"/>
              <w:ind w:left="465" w:right="-1" w:hanging="425"/>
              <w:jc w:val="both"/>
              <w:rPr>
                <w:rFonts w:ascii="Times New Roman" w:hAnsi="Times New Roman" w:cs="Times New Roman"/>
                <w:sz w:val="24"/>
                <w:szCs w:val="24"/>
              </w:rPr>
            </w:pPr>
            <w:r w:rsidRPr="00BE66AE">
              <w:rPr>
                <w:rFonts w:ascii="Times New Roman" w:hAnsi="Times New Roman" w:cs="Times New Roman"/>
                <w:sz w:val="24"/>
                <w:szCs w:val="24"/>
              </w:rPr>
              <w:t>Номинальная стоимость</w:t>
            </w:r>
          </w:p>
          <w:p w:rsidR="00F61065" w:rsidRPr="00BE66AE" w:rsidRDefault="00F61065" w:rsidP="00F61065">
            <w:pPr>
              <w:pStyle w:val="a6"/>
              <w:numPr>
                <w:ilvl w:val="0"/>
                <w:numId w:val="1"/>
              </w:numPr>
              <w:tabs>
                <w:tab w:val="left" w:pos="67"/>
                <w:tab w:val="left" w:pos="1134"/>
                <w:tab w:val="left" w:pos="2160"/>
                <w:tab w:val="left" w:pos="9356"/>
              </w:tabs>
              <w:spacing w:before="0"/>
              <w:ind w:left="465" w:right="-1" w:hanging="425"/>
              <w:jc w:val="both"/>
              <w:rPr>
                <w:rFonts w:ascii="Times New Roman" w:hAnsi="Times New Roman" w:cs="Times New Roman"/>
                <w:sz w:val="24"/>
                <w:szCs w:val="24"/>
              </w:rPr>
            </w:pPr>
            <w:r w:rsidRPr="00BE66AE">
              <w:rPr>
                <w:rFonts w:ascii="Times New Roman" w:hAnsi="Times New Roman" w:cs="Times New Roman"/>
                <w:sz w:val="24"/>
                <w:szCs w:val="24"/>
              </w:rPr>
              <w:t>Частичная номинальная стоимость</w:t>
            </w: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Дата фиксации списка лиц, имеющих право на получение выплат по ценным бумагам</w:t>
            </w:r>
          </w:p>
        </w:tc>
        <w:tc>
          <w:tcPr>
            <w:tcW w:w="4536"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 xml:space="preserve">Количество ценных бумаг на Дату фиксации </w:t>
            </w:r>
          </w:p>
        </w:tc>
        <w:tc>
          <w:tcPr>
            <w:tcW w:w="4536"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___ (______________________) шт.</w:t>
            </w:r>
            <w:r w:rsidRPr="00BE66AE">
              <w:rPr>
                <w:rStyle w:val="a8"/>
                <w:rFonts w:ascii="Times New Roman" w:hAnsi="Times New Roman" w:cs="Times New Roman"/>
                <w:sz w:val="24"/>
                <w:szCs w:val="24"/>
              </w:rPr>
              <w:footnoteReference w:id="1"/>
            </w:r>
          </w:p>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r>
      <w:tr w:rsidR="00F61065" w:rsidRPr="00BE66AE" w:rsidTr="00CB432F">
        <w:tc>
          <w:tcPr>
            <w:tcW w:w="9243" w:type="dxa"/>
            <w:gridSpan w:val="3"/>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Сведения, позволяющие идентифицировать Держателя</w:t>
            </w: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Тип Держателя</w:t>
            </w:r>
          </w:p>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lang w:val="en-US"/>
              </w:rPr>
              <w:t xml:space="preserve">                                  ·       </w:t>
            </w:r>
          </w:p>
        </w:tc>
        <w:tc>
          <w:tcPr>
            <w:tcW w:w="4536" w:type="dxa"/>
          </w:tcPr>
          <w:p w:rsidR="00F61065" w:rsidRPr="00BE66AE" w:rsidRDefault="00F61065" w:rsidP="00F61065">
            <w:pPr>
              <w:pStyle w:val="a6"/>
              <w:numPr>
                <w:ilvl w:val="0"/>
                <w:numId w:val="1"/>
              </w:numPr>
              <w:tabs>
                <w:tab w:val="left" w:pos="67"/>
                <w:tab w:val="left" w:pos="607"/>
                <w:tab w:val="left" w:pos="1134"/>
                <w:tab w:val="left" w:pos="2160"/>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t xml:space="preserve">владелец ценных бумаг </w:t>
            </w:r>
          </w:p>
          <w:p w:rsidR="00F61065" w:rsidRPr="00BE66AE" w:rsidRDefault="00F61065" w:rsidP="00F61065">
            <w:pPr>
              <w:pStyle w:val="a6"/>
              <w:numPr>
                <w:ilvl w:val="0"/>
                <w:numId w:val="1"/>
              </w:numPr>
              <w:tabs>
                <w:tab w:val="left" w:pos="67"/>
                <w:tab w:val="left" w:pos="607"/>
                <w:tab w:val="left" w:pos="1134"/>
                <w:tab w:val="left" w:pos="2160"/>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t>лицо, осуществляющее права по ценным бумагам</w:t>
            </w:r>
          </w:p>
          <w:p w:rsidR="00F61065" w:rsidRPr="00BE66AE" w:rsidRDefault="00F61065" w:rsidP="00F61065">
            <w:pPr>
              <w:pStyle w:val="a6"/>
              <w:numPr>
                <w:ilvl w:val="0"/>
                <w:numId w:val="1"/>
              </w:numPr>
              <w:tabs>
                <w:tab w:val="left" w:pos="67"/>
                <w:tab w:val="left" w:pos="607"/>
                <w:tab w:val="left" w:pos="1134"/>
                <w:tab w:val="left" w:pos="2160"/>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t xml:space="preserve">выгодоприобретатель (бенефициарный владелец) иностранной организации (только для выплат по ценным бумагам в виде дивидендов по акциям российского акционерного общества) </w:t>
            </w:r>
          </w:p>
          <w:p w:rsidR="00F61065" w:rsidRPr="00BE66AE" w:rsidRDefault="00F61065" w:rsidP="00CB432F">
            <w:pPr>
              <w:pStyle w:val="a6"/>
              <w:tabs>
                <w:tab w:val="left" w:pos="67"/>
                <w:tab w:val="left" w:pos="1134"/>
                <w:tab w:val="left" w:pos="2160"/>
                <w:tab w:val="left" w:pos="9356"/>
              </w:tabs>
              <w:spacing w:before="0"/>
              <w:ind w:right="-1"/>
              <w:jc w:val="both"/>
              <w:rPr>
                <w:rFonts w:ascii="Times New Roman" w:hAnsi="Times New Roman" w:cs="Times New Roman"/>
                <w:sz w:val="24"/>
                <w:szCs w:val="24"/>
              </w:rPr>
            </w:pP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Признак лица, имеющего право на получение выплат по ценным бумагам      </w:t>
            </w:r>
          </w:p>
        </w:tc>
        <w:tc>
          <w:tcPr>
            <w:tcW w:w="4536" w:type="dxa"/>
          </w:tcPr>
          <w:p w:rsidR="00F61065" w:rsidRPr="00BE66AE" w:rsidRDefault="00F61065" w:rsidP="00F61065">
            <w:pPr>
              <w:pStyle w:val="a6"/>
              <w:numPr>
                <w:ilvl w:val="0"/>
                <w:numId w:val="1"/>
              </w:numPr>
              <w:tabs>
                <w:tab w:val="left" w:pos="67"/>
                <w:tab w:val="left" w:pos="607"/>
                <w:tab w:val="left" w:pos="1134"/>
                <w:tab w:val="left" w:pos="2160"/>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t>физическое лицо;</w:t>
            </w:r>
          </w:p>
          <w:p w:rsidR="00F61065" w:rsidRPr="00BE66AE" w:rsidRDefault="00F61065" w:rsidP="00F61065">
            <w:pPr>
              <w:pStyle w:val="a6"/>
              <w:numPr>
                <w:ilvl w:val="0"/>
                <w:numId w:val="1"/>
              </w:numPr>
              <w:tabs>
                <w:tab w:val="left" w:pos="67"/>
                <w:tab w:val="left" w:pos="607"/>
                <w:tab w:val="left" w:pos="1134"/>
                <w:tab w:val="left" w:pos="2160"/>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t>юридическое лицо;</w:t>
            </w:r>
          </w:p>
          <w:p w:rsidR="00F61065" w:rsidRPr="00BE66AE" w:rsidRDefault="00F61065" w:rsidP="00F61065">
            <w:pPr>
              <w:pStyle w:val="a6"/>
              <w:numPr>
                <w:ilvl w:val="0"/>
                <w:numId w:val="1"/>
              </w:numPr>
              <w:tabs>
                <w:tab w:val="left" w:pos="67"/>
                <w:tab w:val="left" w:pos="607"/>
                <w:tab w:val="left" w:pos="1134"/>
                <w:tab w:val="left" w:pos="2160"/>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t>иностранная структура, без образования юридического лица</w:t>
            </w: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Полное (краткое) наименование/ФИО Держателя</w:t>
            </w:r>
          </w:p>
        </w:tc>
        <w:tc>
          <w:tcPr>
            <w:tcW w:w="4536" w:type="dxa"/>
          </w:tcPr>
          <w:p w:rsidR="00F61065" w:rsidRPr="00BE66AE" w:rsidRDefault="00F61065" w:rsidP="00CB432F">
            <w:pPr>
              <w:pStyle w:val="a6"/>
              <w:tabs>
                <w:tab w:val="left" w:pos="67"/>
                <w:tab w:val="left" w:pos="607"/>
                <w:tab w:val="left" w:pos="1134"/>
                <w:tab w:val="left" w:pos="2160"/>
                <w:tab w:val="left" w:pos="9356"/>
              </w:tabs>
              <w:spacing w:before="0"/>
              <w:ind w:left="607" w:right="-1"/>
              <w:jc w:val="both"/>
              <w:rPr>
                <w:rFonts w:ascii="Times New Roman" w:hAnsi="Times New Roman" w:cs="Times New Roman"/>
                <w:sz w:val="24"/>
                <w:szCs w:val="24"/>
              </w:rPr>
            </w:pP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Наименование документа, удостоверяющего личность физического лица/регистрационного документа  юридического лица</w:t>
            </w:r>
          </w:p>
        </w:tc>
        <w:tc>
          <w:tcPr>
            <w:tcW w:w="4536"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Серия и/или номер документа, удостоверяющего личность физического лица/регистрационный номер   юридического лица</w:t>
            </w:r>
          </w:p>
        </w:tc>
        <w:tc>
          <w:tcPr>
            <w:tcW w:w="4536"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 xml:space="preserve">Дата выдачи документа, удостоверяющего личность физического лица/дата регистрации в качестве юридического лица </w:t>
            </w:r>
          </w:p>
        </w:tc>
        <w:tc>
          <w:tcPr>
            <w:tcW w:w="4536"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 xml:space="preserve">Дата рождения Держателя - физического лица </w:t>
            </w:r>
          </w:p>
        </w:tc>
        <w:tc>
          <w:tcPr>
            <w:tcW w:w="4536"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Адрес места жительства (регистрации) физического лица/ адрес местонахождения юридического лица</w:t>
            </w:r>
          </w:p>
        </w:tc>
        <w:tc>
          <w:tcPr>
            <w:tcW w:w="4536"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Наименование страны регистрации (гражданства /подданства) Держателя</w:t>
            </w:r>
            <w:r w:rsidRPr="00BE66AE">
              <w:rPr>
                <w:rFonts w:ascii="Times New Roman" w:hAnsi="Times New Roman" w:cs="Times New Roman"/>
                <w:sz w:val="24"/>
                <w:szCs w:val="24"/>
                <w:lang w:val="en-US"/>
              </w:rPr>
              <w:t> </w:t>
            </w:r>
          </w:p>
        </w:tc>
        <w:tc>
          <w:tcPr>
            <w:tcW w:w="4536"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Адрес электронной почты для направления уведомлений (e-mail)</w:t>
            </w:r>
          </w:p>
        </w:tc>
        <w:tc>
          <w:tcPr>
            <w:tcW w:w="4536"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Адрес электронной почты нерезидента для направления уведомления об открытии банковского счета типа «С»</w:t>
            </w:r>
          </w:p>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i/>
                <w:sz w:val="24"/>
                <w:szCs w:val="24"/>
              </w:rPr>
              <w:t>В случае если банковский счет типа «С» будет открыт НКО АО НРД в соответствии с Решением от 23.12.2022 или Решением от 29.12.2022</w:t>
            </w:r>
          </w:p>
        </w:tc>
        <w:tc>
          <w:tcPr>
            <w:tcW w:w="4536"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Контактный телефон</w:t>
            </w:r>
          </w:p>
        </w:tc>
        <w:tc>
          <w:tcPr>
            <w:tcW w:w="4536"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r>
      <w:tr w:rsidR="00F61065" w:rsidRPr="00BE66AE" w:rsidTr="00CB432F">
        <w:tc>
          <w:tcPr>
            <w:tcW w:w="9243" w:type="dxa"/>
            <w:gridSpan w:val="3"/>
          </w:tcPr>
          <w:p w:rsidR="00F61065" w:rsidRPr="00BE66AE" w:rsidRDefault="00F61065" w:rsidP="00CB432F">
            <w:pPr>
              <w:tabs>
                <w:tab w:val="left" w:pos="1134"/>
                <w:tab w:val="left" w:pos="2160"/>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lastRenderedPageBreak/>
              <w:t>Информация о номинальном держателе (иностранном номинальном держателе), осуществляющем учет прав на ценные бумаги</w:t>
            </w: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Полное наименование Номинального держателя (Иностранного номинального держателя)</w:t>
            </w:r>
          </w:p>
        </w:tc>
        <w:tc>
          <w:tcPr>
            <w:tcW w:w="4536"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Ссылка на страницу официального сайта в информационно-телекоммуникационной сети «Интернет» уполномоченного органа, содержащего сведения о выданной лицензии (разрешении) либо о включении Номинального держателя (Иностранного номинального держателя) в перечень (реестр) организаций, уполномоченных осуществлять учет и переход прав на ценные бумаги</w:t>
            </w:r>
          </w:p>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c>
          <w:tcPr>
            <w:tcW w:w="4536"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r>
      <w:tr w:rsidR="00F61065" w:rsidRPr="00BE66AE" w:rsidTr="00CB432F">
        <w:tc>
          <w:tcPr>
            <w:tcW w:w="9243" w:type="dxa"/>
            <w:gridSpan w:val="3"/>
          </w:tcPr>
          <w:p w:rsidR="00F61065" w:rsidRPr="00BE66AE" w:rsidRDefault="00F61065" w:rsidP="00CB432F">
            <w:pPr>
              <w:tabs>
                <w:tab w:val="left" w:pos="1134"/>
                <w:tab w:val="left" w:pos="2160"/>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Информация о вышестоящих Номинальных держателях (Иностранных номинальных держателях)</w:t>
            </w:r>
          </w:p>
          <w:p w:rsidR="00F61065" w:rsidRPr="00BE66AE" w:rsidRDefault="00F61065" w:rsidP="00CB432F">
            <w:pPr>
              <w:tabs>
                <w:tab w:val="left" w:pos="1134"/>
                <w:tab w:val="left" w:pos="2160"/>
                <w:tab w:val="left" w:pos="9356"/>
              </w:tabs>
              <w:ind w:right="-1"/>
              <w:jc w:val="both"/>
              <w:rPr>
                <w:rFonts w:ascii="Times New Roman" w:hAnsi="Times New Roman" w:cs="Times New Roman"/>
                <w:i/>
                <w:sz w:val="24"/>
                <w:szCs w:val="24"/>
              </w:rPr>
            </w:pPr>
            <w:r w:rsidRPr="00BE66AE">
              <w:rPr>
                <w:rFonts w:ascii="Times New Roman" w:hAnsi="Times New Roman" w:cs="Times New Roman"/>
                <w:i/>
                <w:sz w:val="24"/>
                <w:szCs w:val="24"/>
              </w:rPr>
              <w:t>(повторяющийся блок для каждого номинального держателя (иностранного номинального держателя)</w:t>
            </w: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Полное наименование Номинального держателя (Иностранного номинального держателя)</w:t>
            </w:r>
          </w:p>
        </w:tc>
        <w:tc>
          <w:tcPr>
            <w:tcW w:w="4536"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Ссылка на страницу официального сайта в информационно-телекоммуникационной сети «Интернет» уполномоченного органа, выдавшего лицензию (разрешение) либо включившего Номинального держателя (Иностранного номинального держателя) в перечень (реестр) организаций, уполномоченных осуществлять учет и переход прав на ценные бумаги</w:t>
            </w:r>
          </w:p>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c>
          <w:tcPr>
            <w:tcW w:w="4536"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r>
      <w:tr w:rsidR="00F61065" w:rsidRPr="00BE66AE" w:rsidTr="00CB432F">
        <w:tc>
          <w:tcPr>
            <w:tcW w:w="9243" w:type="dxa"/>
            <w:gridSpan w:val="3"/>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 xml:space="preserve">При </w:t>
            </w:r>
            <w:r w:rsidRPr="00BE66AE">
              <w:rPr>
                <w:rFonts w:ascii="Times New Roman" w:hAnsi="Times New Roman" w:cs="Times New Roman"/>
                <w:b/>
                <w:bCs/>
                <w:sz w:val="24"/>
                <w:szCs w:val="24"/>
              </w:rPr>
              <w:t>предоставлении документов в случае наличия Ограничений</w:t>
            </w:r>
          </w:p>
        </w:tc>
      </w:tr>
      <w:tr w:rsidR="00F61065" w:rsidRPr="00BE66AE" w:rsidTr="00CB432F">
        <w:tc>
          <w:tcPr>
            <w:tcW w:w="880" w:type="dxa"/>
            <w:vMerge w:val="restart"/>
          </w:tcPr>
          <w:p w:rsidR="00F61065" w:rsidRPr="00BE66AE" w:rsidDel="002B5B1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vMerge w:val="restart"/>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 xml:space="preserve">Вид Ограничения </w:t>
            </w:r>
          </w:p>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c>
          <w:tcPr>
            <w:tcW w:w="4536" w:type="dxa"/>
          </w:tcPr>
          <w:p w:rsidR="00F61065" w:rsidRPr="00BE66AE" w:rsidRDefault="00F61065" w:rsidP="00F61065">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ценных бумаг</w:t>
            </w:r>
          </w:p>
          <w:p w:rsidR="00F61065" w:rsidRPr="00BE66AE" w:rsidRDefault="00F61065"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p>
          <w:p w:rsidR="00F61065" w:rsidRPr="00BE66AE" w:rsidRDefault="00F61065"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F61065" w:rsidRPr="00BE66AE" w:rsidRDefault="00F61065" w:rsidP="00CB432F">
            <w:pPr>
              <w:tabs>
                <w:tab w:val="left" w:pos="67"/>
                <w:tab w:val="left" w:pos="607"/>
                <w:tab w:val="left" w:pos="1134"/>
                <w:tab w:val="left" w:pos="2160"/>
                <w:tab w:val="left" w:pos="9356"/>
              </w:tabs>
              <w:spacing w:after="120"/>
              <w:ind w:left="40"/>
              <w:jc w:val="both"/>
              <w:rPr>
                <w:rFonts w:ascii="Times New Roman" w:hAnsi="Times New Roman" w:cs="Times New Roman"/>
                <w:sz w:val="24"/>
                <w:szCs w:val="24"/>
              </w:rPr>
            </w:pPr>
            <w:r w:rsidRPr="00BE66AE">
              <w:rPr>
                <w:rFonts w:ascii="Times New Roman" w:hAnsi="Times New Roman" w:cs="Times New Roman"/>
                <w:i/>
                <w:sz w:val="20"/>
                <w:szCs w:val="20"/>
              </w:rPr>
              <w:t>__________________________________________</w:t>
            </w:r>
          </w:p>
        </w:tc>
      </w:tr>
      <w:tr w:rsidR="00F61065" w:rsidRPr="00BE66AE" w:rsidTr="00CB432F">
        <w:tc>
          <w:tcPr>
            <w:tcW w:w="880" w:type="dxa"/>
            <w:vMerge/>
          </w:tcPr>
          <w:p w:rsidR="00F61065" w:rsidRPr="00BE66AE" w:rsidDel="002B5B1E" w:rsidRDefault="00F61065" w:rsidP="00CB432F">
            <w:pPr>
              <w:pStyle w:val="a6"/>
              <w:tabs>
                <w:tab w:val="left" w:pos="1134"/>
                <w:tab w:val="left" w:pos="2160"/>
                <w:tab w:val="left" w:pos="9356"/>
              </w:tabs>
              <w:ind w:right="-1"/>
              <w:jc w:val="both"/>
              <w:rPr>
                <w:rFonts w:ascii="Times New Roman" w:hAnsi="Times New Roman" w:cs="Times New Roman"/>
                <w:sz w:val="24"/>
                <w:szCs w:val="24"/>
              </w:rPr>
            </w:pPr>
          </w:p>
        </w:tc>
        <w:tc>
          <w:tcPr>
            <w:tcW w:w="3827" w:type="dxa"/>
            <w:vMerge/>
          </w:tcPr>
          <w:p w:rsidR="00F61065" w:rsidRPr="00BE66AE" w:rsidDel="002B5B1E" w:rsidRDefault="00F61065" w:rsidP="00CB432F">
            <w:pPr>
              <w:tabs>
                <w:tab w:val="left" w:pos="1134"/>
                <w:tab w:val="left" w:pos="2160"/>
                <w:tab w:val="left" w:pos="9356"/>
              </w:tabs>
              <w:ind w:right="-1"/>
              <w:jc w:val="both"/>
              <w:rPr>
                <w:rFonts w:ascii="Times New Roman" w:hAnsi="Times New Roman" w:cs="Times New Roman"/>
                <w:sz w:val="24"/>
                <w:szCs w:val="24"/>
              </w:rPr>
            </w:pPr>
          </w:p>
        </w:tc>
        <w:tc>
          <w:tcPr>
            <w:tcW w:w="4536" w:type="dxa"/>
          </w:tcPr>
          <w:p w:rsidR="00F61065" w:rsidRPr="00BE66AE" w:rsidRDefault="00F61065" w:rsidP="00F61065">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w:t>
            </w:r>
          </w:p>
          <w:p w:rsidR="00F61065" w:rsidRPr="00BE66AE" w:rsidRDefault="00F61065"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w:t>
            </w:r>
          </w:p>
          <w:p w:rsidR="00F61065" w:rsidRPr="00BE66AE" w:rsidRDefault="00F61065"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F61065" w:rsidRPr="00BE66AE" w:rsidRDefault="00F61065" w:rsidP="00CB432F">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F61065" w:rsidRPr="00BE66AE" w:rsidRDefault="00F61065"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Наименование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__________________________________________</w:t>
            </w:r>
          </w:p>
          <w:p w:rsidR="00F61065" w:rsidRPr="00BE66AE" w:rsidRDefault="00F61065" w:rsidP="00CB432F">
            <w:pPr>
              <w:tabs>
                <w:tab w:val="left" w:pos="67"/>
                <w:tab w:val="left" w:pos="607"/>
                <w:tab w:val="left" w:pos="1134"/>
                <w:tab w:val="left" w:pos="2160"/>
                <w:tab w:val="left" w:pos="9356"/>
              </w:tabs>
              <w:spacing w:after="120"/>
              <w:ind w:left="40"/>
              <w:jc w:val="both"/>
              <w:rPr>
                <w:rFonts w:ascii="Times New Roman" w:hAnsi="Times New Roman" w:cs="Times New Roman"/>
                <w:sz w:val="24"/>
                <w:szCs w:val="24"/>
              </w:rPr>
            </w:pPr>
            <w:r w:rsidRPr="00BE66AE">
              <w:rPr>
                <w:rFonts w:ascii="Times New Roman" w:hAnsi="Times New Roman" w:cs="Times New Roman"/>
                <w:i/>
                <w:sz w:val="24"/>
                <w:szCs w:val="24"/>
              </w:rPr>
              <w:t>___________________________________</w:t>
            </w:r>
          </w:p>
        </w:tc>
      </w:tr>
      <w:tr w:rsidR="00F61065" w:rsidRPr="00BE66AE" w:rsidTr="00CB432F">
        <w:tc>
          <w:tcPr>
            <w:tcW w:w="880" w:type="dxa"/>
            <w:vMerge/>
          </w:tcPr>
          <w:p w:rsidR="00F61065" w:rsidRPr="00BE66AE" w:rsidDel="002B5B1E" w:rsidRDefault="00F61065" w:rsidP="00CB432F">
            <w:pPr>
              <w:pStyle w:val="a6"/>
              <w:tabs>
                <w:tab w:val="left" w:pos="1134"/>
                <w:tab w:val="left" w:pos="2160"/>
                <w:tab w:val="left" w:pos="9356"/>
              </w:tabs>
              <w:ind w:right="-1"/>
              <w:jc w:val="both"/>
              <w:rPr>
                <w:rFonts w:ascii="Times New Roman" w:hAnsi="Times New Roman" w:cs="Times New Roman"/>
                <w:sz w:val="24"/>
                <w:szCs w:val="24"/>
              </w:rPr>
            </w:pPr>
          </w:p>
        </w:tc>
        <w:tc>
          <w:tcPr>
            <w:tcW w:w="3827" w:type="dxa"/>
            <w:vMerge/>
          </w:tcPr>
          <w:p w:rsidR="00F61065" w:rsidRPr="00BE66AE" w:rsidDel="002B5B1E" w:rsidRDefault="00F61065" w:rsidP="00CB432F">
            <w:pPr>
              <w:tabs>
                <w:tab w:val="left" w:pos="1134"/>
                <w:tab w:val="left" w:pos="2160"/>
                <w:tab w:val="left" w:pos="9356"/>
              </w:tabs>
              <w:ind w:right="-1"/>
              <w:jc w:val="both"/>
              <w:rPr>
                <w:rFonts w:ascii="Times New Roman" w:hAnsi="Times New Roman" w:cs="Times New Roman"/>
                <w:sz w:val="24"/>
                <w:szCs w:val="24"/>
              </w:rPr>
            </w:pPr>
          </w:p>
        </w:tc>
        <w:tc>
          <w:tcPr>
            <w:tcW w:w="4536" w:type="dxa"/>
          </w:tcPr>
          <w:p w:rsidR="00F61065" w:rsidRPr="00BE66AE" w:rsidRDefault="00F61065" w:rsidP="00F61065">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w:t>
            </w:r>
            <w:r w:rsidRPr="00BE66AE">
              <w:rPr>
                <w:rFonts w:ascii="Times New Roman" w:hAnsi="Times New Roman" w:cs="Times New Roman"/>
                <w:sz w:val="24"/>
                <w:szCs w:val="24"/>
              </w:rPr>
              <w:lastRenderedPageBreak/>
              <w:t>организациями в отношении территории регистрации (гражданства) лица, по счету которого предоставлена информация о принадлежности ценных бумаг.</w:t>
            </w:r>
          </w:p>
          <w:p w:rsidR="00F61065" w:rsidRPr="00BE66AE" w:rsidRDefault="00F61065"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w:t>
            </w:r>
          </w:p>
          <w:p w:rsidR="00F61065" w:rsidRPr="00BE66AE" w:rsidRDefault="00F61065"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F61065" w:rsidRPr="00BE66AE" w:rsidRDefault="00F61065" w:rsidP="00CB432F">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F61065" w:rsidRPr="00BE66AE" w:rsidRDefault="00F61065"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Наименование территории регистрации (гражданства) лица, по счету которого предоставлена информация о принадлежности ценных бумаг: __________________________________________</w:t>
            </w:r>
          </w:p>
          <w:p w:rsidR="00F61065" w:rsidRPr="00BE66AE" w:rsidRDefault="00F61065" w:rsidP="00CB432F">
            <w:pPr>
              <w:tabs>
                <w:tab w:val="left" w:pos="67"/>
                <w:tab w:val="left" w:pos="607"/>
                <w:tab w:val="left" w:pos="1134"/>
                <w:tab w:val="left" w:pos="2160"/>
                <w:tab w:val="left" w:pos="9356"/>
              </w:tabs>
              <w:spacing w:after="120"/>
              <w:ind w:left="40"/>
              <w:jc w:val="both"/>
              <w:rPr>
                <w:rFonts w:ascii="Times New Roman" w:hAnsi="Times New Roman" w:cs="Times New Roman"/>
                <w:sz w:val="24"/>
                <w:szCs w:val="24"/>
              </w:rPr>
            </w:pPr>
            <w:r w:rsidRPr="00BE66AE">
              <w:rPr>
                <w:rFonts w:ascii="Times New Roman" w:hAnsi="Times New Roman" w:cs="Times New Roman"/>
                <w:i/>
                <w:sz w:val="20"/>
                <w:szCs w:val="20"/>
              </w:rPr>
              <w:t>__________________________________________</w:t>
            </w:r>
          </w:p>
        </w:tc>
      </w:tr>
      <w:tr w:rsidR="00F61065" w:rsidRPr="00BE66AE" w:rsidTr="00CB432F">
        <w:tc>
          <w:tcPr>
            <w:tcW w:w="880" w:type="dxa"/>
          </w:tcPr>
          <w:p w:rsidR="00F61065" w:rsidRPr="00BE66AE" w:rsidDel="002B5B1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Del="002B5B1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0"/>
              </w:rPr>
              <w:t>Наименование иностранного государства/ международной организации/ иностранной финансовой организации, которое ввело Ограничения</w:t>
            </w:r>
          </w:p>
        </w:tc>
        <w:tc>
          <w:tcPr>
            <w:tcW w:w="4536" w:type="dxa"/>
          </w:tcPr>
          <w:p w:rsidR="00F61065" w:rsidRPr="00BE66AE" w:rsidRDefault="00F61065" w:rsidP="00CB432F">
            <w:pPr>
              <w:pStyle w:val="a6"/>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rPr>
            </w:pPr>
          </w:p>
        </w:tc>
      </w:tr>
      <w:tr w:rsidR="00F61065" w:rsidRPr="00BE66AE" w:rsidTr="00CB432F">
        <w:tc>
          <w:tcPr>
            <w:tcW w:w="880" w:type="dxa"/>
          </w:tcPr>
          <w:p w:rsidR="00F61065" w:rsidRPr="00BE66AE" w:rsidDel="002B5B1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Del="002B5B1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eastAsia="Calibri" w:hAnsi="Times New Roman" w:cs="Times New Roman"/>
                <w:bCs/>
                <w:snapToGrid w:val="0"/>
                <w:sz w:val="24"/>
                <w:szCs w:val="24"/>
              </w:rPr>
              <w:t>Дата введения Ограничения (с указанием даты и номера решения, если применимо)</w:t>
            </w:r>
          </w:p>
        </w:tc>
        <w:tc>
          <w:tcPr>
            <w:tcW w:w="4536" w:type="dxa"/>
          </w:tcPr>
          <w:p w:rsidR="00F61065" w:rsidRPr="00BE66AE" w:rsidRDefault="00F61065" w:rsidP="00CB432F">
            <w:pPr>
              <w:tabs>
                <w:tab w:val="left" w:pos="67"/>
                <w:tab w:val="left" w:pos="607"/>
                <w:tab w:val="left" w:pos="1134"/>
                <w:tab w:val="left" w:pos="2160"/>
                <w:tab w:val="left" w:pos="9356"/>
              </w:tabs>
              <w:spacing w:after="120"/>
              <w:jc w:val="both"/>
              <w:rPr>
                <w:rFonts w:ascii="Times New Roman" w:hAnsi="Times New Roman" w:cs="Times New Roman"/>
                <w:sz w:val="24"/>
                <w:szCs w:val="24"/>
              </w:rPr>
            </w:pPr>
          </w:p>
        </w:tc>
      </w:tr>
      <w:tr w:rsidR="00F61065" w:rsidRPr="00BE66AE" w:rsidTr="00CB432F">
        <w:tc>
          <w:tcPr>
            <w:tcW w:w="880" w:type="dxa"/>
          </w:tcPr>
          <w:p w:rsidR="00F61065" w:rsidRPr="00BE66AE" w:rsidDel="002B5B1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Del="002B5B1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eastAsia="Calibri" w:hAnsi="Times New Roman" w:cs="Times New Roman"/>
                <w:bCs/>
                <w:snapToGrid w:val="0"/>
                <w:sz w:val="24"/>
                <w:szCs w:val="24"/>
              </w:rPr>
              <w:t>Ссылки на официальный источник и (или) официальный сайт органа/ организации, принявшего решение о введении Ограничений</w:t>
            </w:r>
          </w:p>
        </w:tc>
        <w:tc>
          <w:tcPr>
            <w:tcW w:w="4536" w:type="dxa"/>
          </w:tcPr>
          <w:p w:rsidR="00F61065" w:rsidRPr="00BE66AE" w:rsidRDefault="00F61065" w:rsidP="00CB432F">
            <w:pPr>
              <w:pStyle w:val="a6"/>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rPr>
            </w:pPr>
          </w:p>
        </w:tc>
      </w:tr>
      <w:tr w:rsidR="00F61065" w:rsidRPr="00BE66AE" w:rsidTr="00CB432F">
        <w:tc>
          <w:tcPr>
            <w:tcW w:w="9243" w:type="dxa"/>
            <w:gridSpan w:val="3"/>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 xml:space="preserve">При предоставлении документов, идентифицирующих Держателя, в порядке, предусмотренном пунктом </w:t>
            </w:r>
            <w:r w:rsidRPr="00BE66AE">
              <w:rPr>
                <w:rFonts w:ascii="Times New Roman" w:hAnsi="Times New Roman" w:cs="Times New Roman"/>
                <w:b/>
                <w:sz w:val="24"/>
                <w:szCs w:val="24"/>
              </w:rPr>
              <w:fldChar w:fldCharType="begin"/>
            </w:r>
            <w:r w:rsidRPr="00BE66AE">
              <w:rPr>
                <w:rFonts w:ascii="Times New Roman" w:hAnsi="Times New Roman" w:cs="Times New Roman"/>
                <w:b/>
                <w:sz w:val="24"/>
                <w:szCs w:val="24"/>
              </w:rPr>
              <w:instrText xml:space="preserve"> REF _Ref113019016 \r \h  \* MERGEFORMAT </w:instrText>
            </w:r>
            <w:r w:rsidRPr="00BE66AE">
              <w:rPr>
                <w:rFonts w:ascii="Times New Roman" w:hAnsi="Times New Roman" w:cs="Times New Roman"/>
                <w:b/>
                <w:sz w:val="24"/>
                <w:szCs w:val="24"/>
              </w:rPr>
            </w:r>
            <w:r w:rsidRPr="00BE66AE">
              <w:rPr>
                <w:rFonts w:ascii="Times New Roman" w:hAnsi="Times New Roman" w:cs="Times New Roman"/>
                <w:b/>
                <w:sz w:val="24"/>
                <w:szCs w:val="24"/>
              </w:rPr>
              <w:fldChar w:fldCharType="separate"/>
            </w:r>
            <w:r w:rsidRPr="00BE66AE">
              <w:rPr>
                <w:rFonts w:ascii="Times New Roman" w:hAnsi="Times New Roman" w:cs="Times New Roman"/>
                <w:b/>
                <w:sz w:val="24"/>
                <w:szCs w:val="24"/>
              </w:rPr>
              <w:t>2.8</w:t>
            </w:r>
            <w:r w:rsidRPr="00BE66AE">
              <w:rPr>
                <w:rFonts w:ascii="Times New Roman" w:hAnsi="Times New Roman" w:cs="Times New Roman"/>
                <w:b/>
                <w:sz w:val="24"/>
                <w:szCs w:val="24"/>
              </w:rPr>
              <w:fldChar w:fldCharType="end"/>
            </w:r>
            <w:r w:rsidRPr="00BE66AE">
              <w:rPr>
                <w:rFonts w:ascii="Times New Roman" w:hAnsi="Times New Roman" w:cs="Times New Roman"/>
                <w:b/>
                <w:sz w:val="24"/>
                <w:szCs w:val="24"/>
              </w:rPr>
              <w:t xml:space="preserve"> раздела 2</w:t>
            </w:r>
            <w:r w:rsidRPr="00BE66AE">
              <w:rPr>
                <w:rFonts w:ascii="Times New Roman" w:hAnsi="Times New Roman" w:cs="Times New Roman"/>
                <w:sz w:val="24"/>
                <w:szCs w:val="24"/>
              </w:rPr>
              <w:t xml:space="preserve"> </w:t>
            </w:r>
            <w:r w:rsidRPr="00BE66AE">
              <w:rPr>
                <w:rFonts w:ascii="Times New Roman" w:hAnsi="Times New Roman" w:cs="Times New Roman"/>
                <w:b/>
                <w:sz w:val="24"/>
                <w:szCs w:val="24"/>
              </w:rPr>
              <w:t>Перечня</w:t>
            </w: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 xml:space="preserve">Документы, идентифицирующие Держателя, предоставлены в НРД менее 1 (одного) года назад, изменения в указанных документах (в том числе в соответствующих Анкетах) отсутствуют </w:t>
            </w:r>
          </w:p>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c>
          <w:tcPr>
            <w:tcW w:w="4536" w:type="dxa"/>
          </w:tcPr>
          <w:p w:rsidR="00F61065" w:rsidRPr="00BE66AE" w:rsidRDefault="00F61065" w:rsidP="00F61065">
            <w:pPr>
              <w:pStyle w:val="a6"/>
              <w:numPr>
                <w:ilvl w:val="0"/>
                <w:numId w:val="1"/>
              </w:numPr>
              <w:tabs>
                <w:tab w:val="left" w:pos="67"/>
                <w:tab w:val="left" w:pos="1134"/>
                <w:tab w:val="left" w:pos="2160"/>
                <w:tab w:val="left" w:pos="9356"/>
              </w:tabs>
              <w:spacing w:before="0" w:after="0" w:line="240" w:lineRule="auto"/>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ДА</w:t>
            </w:r>
          </w:p>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r>
      <w:tr w:rsidR="00F61065" w:rsidRPr="00BE66AE" w:rsidTr="00CB432F">
        <w:tc>
          <w:tcPr>
            <w:tcW w:w="9243" w:type="dxa"/>
            <w:gridSpan w:val="3"/>
          </w:tcPr>
          <w:p w:rsidR="00F61065" w:rsidRPr="00BE66AE" w:rsidRDefault="00F61065" w:rsidP="00CB432F">
            <w:pPr>
              <w:tabs>
                <w:tab w:val="left" w:pos="67"/>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Держатель является иностранной структурой, относящейся к схемам коллективного инвестирования</w:t>
            </w:r>
            <w:r w:rsidRPr="00BE66AE" w:rsidDel="00B94675">
              <w:rPr>
                <w:rFonts w:ascii="Times New Roman" w:hAnsi="Times New Roman" w:cs="Times New Roman"/>
                <w:b/>
                <w:sz w:val="24"/>
                <w:szCs w:val="24"/>
              </w:rPr>
              <w:t xml:space="preserve"> </w:t>
            </w: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Возможные значения</w:t>
            </w:r>
          </w:p>
        </w:tc>
        <w:tc>
          <w:tcPr>
            <w:tcW w:w="4536" w:type="dxa"/>
          </w:tcPr>
          <w:p w:rsidR="00F61065" w:rsidRPr="00BE66AE" w:rsidRDefault="00F61065" w:rsidP="00F61065">
            <w:pPr>
              <w:pStyle w:val="a6"/>
              <w:numPr>
                <w:ilvl w:val="0"/>
                <w:numId w:val="1"/>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ДА</w:t>
            </w:r>
          </w:p>
          <w:p w:rsidR="00F61065" w:rsidRPr="00BE66AE" w:rsidRDefault="00F61065" w:rsidP="00F61065">
            <w:pPr>
              <w:pStyle w:val="a6"/>
              <w:numPr>
                <w:ilvl w:val="0"/>
                <w:numId w:val="1"/>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НЕТ</w:t>
            </w:r>
          </w:p>
        </w:tc>
      </w:tr>
      <w:tr w:rsidR="00F61065" w:rsidRPr="00BE66AE" w:rsidTr="00CB432F">
        <w:tc>
          <w:tcPr>
            <w:tcW w:w="9243" w:type="dxa"/>
            <w:gridSpan w:val="3"/>
          </w:tcPr>
          <w:p w:rsidR="00F61065" w:rsidRPr="00BE66AE" w:rsidRDefault="00F61065" w:rsidP="00CB432F">
            <w:pPr>
              <w:tabs>
                <w:tab w:val="left" w:pos="1134"/>
                <w:tab w:val="left" w:pos="2160"/>
                <w:tab w:val="left" w:pos="9356"/>
              </w:tabs>
              <w:ind w:right="-1"/>
              <w:jc w:val="both"/>
              <w:rPr>
                <w:rFonts w:ascii="Times New Roman" w:hAnsi="Times New Roman" w:cs="Times New Roman"/>
                <w:i/>
                <w:sz w:val="24"/>
                <w:szCs w:val="24"/>
              </w:rPr>
            </w:pPr>
            <w:r w:rsidRPr="00BE66AE">
              <w:rPr>
                <w:rFonts w:ascii="Times New Roman" w:hAnsi="Times New Roman" w:cs="Times New Roman"/>
                <w:b/>
                <w:sz w:val="24"/>
                <w:szCs w:val="24"/>
              </w:rPr>
              <w:t>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w:t>
            </w: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 xml:space="preserve">29.1. Наименование российского Банка Получателя           </w:t>
            </w:r>
          </w:p>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29.2. Банковский идентификационный код (БИК)</w:t>
            </w:r>
            <w:r w:rsidRPr="00BE66AE">
              <w:rPr>
                <w:rFonts w:ascii="Times New Roman" w:hAnsi="Times New Roman" w:cs="Times New Roman"/>
                <w:sz w:val="24"/>
                <w:szCs w:val="24"/>
              </w:rPr>
              <w:t xml:space="preserve"> банка Получателя (9 знаков)</w:t>
            </w:r>
          </w:p>
          <w:p w:rsidR="00F61065" w:rsidRPr="00BE66AE" w:rsidRDefault="00F61065" w:rsidP="00CB432F">
            <w:pPr>
              <w:tabs>
                <w:tab w:val="left" w:pos="1134"/>
                <w:tab w:val="left" w:pos="2160"/>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29.3. Город российского Банка Получателя</w:t>
            </w:r>
          </w:p>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29.4. Номер корреспондентского счета банка Получателя</w:t>
            </w:r>
            <w:r w:rsidRPr="00BE66AE">
              <w:rPr>
                <w:rFonts w:ascii="Times New Roman" w:hAnsi="Times New Roman" w:cs="Times New Roman"/>
                <w:sz w:val="24"/>
                <w:szCs w:val="24"/>
              </w:rPr>
              <w:t xml:space="preserve">, открытый в подразделении Банка России (20 знаков) </w:t>
            </w:r>
          </w:p>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29.5. ИНН получателя средств</w:t>
            </w:r>
            <w:r w:rsidRPr="00BE66AE">
              <w:rPr>
                <w:rFonts w:ascii="Times New Roman" w:hAnsi="Times New Roman" w:cs="Times New Roman"/>
                <w:sz w:val="24"/>
                <w:szCs w:val="24"/>
              </w:rPr>
              <w:t xml:space="preserve">, присвоенный российскими налоговыми органами                  </w:t>
            </w:r>
            <w:proofErr w:type="gramStart"/>
            <w:r w:rsidRPr="00BE66AE">
              <w:rPr>
                <w:rFonts w:ascii="Times New Roman" w:hAnsi="Times New Roman" w:cs="Times New Roman"/>
                <w:sz w:val="24"/>
                <w:szCs w:val="24"/>
              </w:rPr>
              <w:t xml:space="preserve">   (</w:t>
            </w:r>
            <w:proofErr w:type="gramEnd"/>
            <w:r w:rsidRPr="00BE66AE">
              <w:rPr>
                <w:rFonts w:ascii="Times New Roman" w:hAnsi="Times New Roman" w:cs="Times New Roman"/>
                <w:sz w:val="24"/>
                <w:szCs w:val="24"/>
              </w:rPr>
              <w:t>10 знаков для ЮЛ или 12 знаков для ФЛ)</w:t>
            </w:r>
          </w:p>
          <w:p w:rsidR="00F61065" w:rsidRPr="00BE66AE" w:rsidRDefault="00F61065" w:rsidP="00CB432F">
            <w:pPr>
              <w:tabs>
                <w:tab w:val="left" w:pos="1134"/>
                <w:tab w:val="left" w:pos="2160"/>
                <w:tab w:val="left" w:pos="9356"/>
              </w:tabs>
              <w:ind w:right="-1"/>
              <w:jc w:val="both"/>
              <w:rPr>
                <w:rFonts w:ascii="Times New Roman" w:hAnsi="Times New Roman" w:cs="Times New Roman"/>
                <w:i/>
                <w:sz w:val="24"/>
                <w:szCs w:val="24"/>
              </w:rPr>
            </w:pPr>
            <w:r w:rsidRPr="00BE66AE">
              <w:rPr>
                <w:rFonts w:ascii="Times New Roman" w:hAnsi="Times New Roman" w:cs="Times New Roman"/>
                <w:i/>
                <w:sz w:val="24"/>
                <w:szCs w:val="24"/>
              </w:rPr>
              <w:t>*</w:t>
            </w:r>
            <w:r w:rsidRPr="00BE66AE">
              <w:rPr>
                <w:rFonts w:ascii="Times New Roman" w:hAnsi="Times New Roman" w:cs="Times New Roman"/>
                <w:i/>
                <w:sz w:val="24"/>
                <w:szCs w:val="24"/>
                <w:lang w:val="en-US"/>
              </w:rPr>
              <w:t> </w:t>
            </w:r>
            <w:proofErr w:type="gramStart"/>
            <w:r w:rsidRPr="00BE66AE">
              <w:rPr>
                <w:rFonts w:ascii="Times New Roman" w:hAnsi="Times New Roman" w:cs="Times New Roman"/>
                <w:i/>
                <w:sz w:val="24"/>
                <w:szCs w:val="24"/>
              </w:rPr>
              <w:t>В</w:t>
            </w:r>
            <w:proofErr w:type="gramEnd"/>
            <w:r w:rsidRPr="00BE66AE">
              <w:rPr>
                <w:rFonts w:ascii="Times New Roman" w:hAnsi="Times New Roman" w:cs="Times New Roman"/>
                <w:i/>
                <w:sz w:val="24"/>
                <w:szCs w:val="24"/>
              </w:rPr>
              <w:t xml:space="preserve"> случае, если ИНН не присвоен российскими налоговыми органами, то реквизит «ИНН получателя» заполняется нулями </w:t>
            </w:r>
          </w:p>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29.6. Наименование Получателя</w:t>
            </w:r>
            <w:r w:rsidRPr="00BE66AE">
              <w:rPr>
                <w:rFonts w:ascii="Times New Roman" w:hAnsi="Times New Roman" w:cs="Times New Roman"/>
                <w:sz w:val="24"/>
                <w:szCs w:val="24"/>
              </w:rPr>
              <w:t xml:space="preserve"> (в соответствии с </w:t>
            </w:r>
            <w:proofErr w:type="gramStart"/>
            <w:r w:rsidRPr="00BE66AE">
              <w:rPr>
                <w:rFonts w:ascii="Times New Roman" w:hAnsi="Times New Roman" w:cs="Times New Roman"/>
                <w:sz w:val="24"/>
                <w:szCs w:val="24"/>
              </w:rPr>
              <w:t>Уставом)*</w:t>
            </w:r>
            <w:proofErr w:type="gramEnd"/>
            <w:r w:rsidRPr="00BE66AE">
              <w:rPr>
                <w:rFonts w:ascii="Times New Roman" w:hAnsi="Times New Roman" w:cs="Times New Roman"/>
                <w:sz w:val="24"/>
                <w:szCs w:val="24"/>
              </w:rPr>
              <w:t xml:space="preserve">                                            </w:t>
            </w:r>
          </w:p>
          <w:p w:rsidR="00F61065" w:rsidRPr="00BE66AE" w:rsidRDefault="00F61065" w:rsidP="00CB432F">
            <w:pPr>
              <w:tabs>
                <w:tab w:val="left" w:pos="1134"/>
                <w:tab w:val="left" w:pos="2160"/>
                <w:tab w:val="left" w:pos="9356"/>
              </w:tabs>
              <w:ind w:right="-1"/>
              <w:jc w:val="both"/>
              <w:rPr>
                <w:rFonts w:ascii="Times New Roman" w:hAnsi="Times New Roman" w:cs="Times New Roman"/>
                <w:i/>
                <w:sz w:val="24"/>
                <w:szCs w:val="24"/>
              </w:rPr>
            </w:pPr>
            <w:r w:rsidRPr="00BE66AE">
              <w:rPr>
                <w:rFonts w:ascii="Times New Roman" w:hAnsi="Times New Roman" w:cs="Times New Roman"/>
                <w:i/>
                <w:sz w:val="24"/>
                <w:szCs w:val="24"/>
              </w:rPr>
              <w:t xml:space="preserve">* </w:t>
            </w:r>
            <w:proofErr w:type="gramStart"/>
            <w:r w:rsidRPr="00BE66AE">
              <w:rPr>
                <w:rFonts w:ascii="Times New Roman" w:hAnsi="Times New Roman" w:cs="Times New Roman"/>
                <w:i/>
                <w:sz w:val="24"/>
                <w:szCs w:val="24"/>
              </w:rPr>
              <w:t>В</w:t>
            </w:r>
            <w:proofErr w:type="gramEnd"/>
            <w:r w:rsidRPr="00BE66AE">
              <w:rPr>
                <w:rFonts w:ascii="Times New Roman" w:hAnsi="Times New Roman" w:cs="Times New Roman"/>
                <w:i/>
                <w:sz w:val="24"/>
                <w:szCs w:val="24"/>
              </w:rPr>
              <w:t xml:space="preserve"> случае, если лицу, имеющему право на получение выплаты открыт счет в иностранном банке, то указывается наименование иностранного банка </w:t>
            </w:r>
          </w:p>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29.7. Счет получателя</w:t>
            </w:r>
            <w:r w:rsidRPr="00BE66AE">
              <w:rPr>
                <w:rFonts w:ascii="Times New Roman" w:hAnsi="Times New Roman" w:cs="Times New Roman"/>
                <w:sz w:val="24"/>
                <w:szCs w:val="24"/>
              </w:rPr>
              <w:t xml:space="preserve"> (корр/с или р/с </w:t>
            </w:r>
            <w:proofErr w:type="gramStart"/>
            <w:r w:rsidRPr="00BE66AE">
              <w:rPr>
                <w:rFonts w:ascii="Times New Roman" w:hAnsi="Times New Roman" w:cs="Times New Roman"/>
                <w:sz w:val="24"/>
                <w:szCs w:val="24"/>
              </w:rPr>
              <w:t>Получателя)*</w:t>
            </w:r>
            <w:proofErr w:type="gramEnd"/>
          </w:p>
          <w:p w:rsidR="00F61065" w:rsidRPr="00BE66AE" w:rsidRDefault="00F61065" w:rsidP="00CB432F">
            <w:pPr>
              <w:tabs>
                <w:tab w:val="left" w:pos="1134"/>
                <w:tab w:val="left" w:pos="2160"/>
                <w:tab w:val="left" w:pos="9356"/>
              </w:tabs>
              <w:ind w:right="-1"/>
              <w:jc w:val="both"/>
              <w:rPr>
                <w:rFonts w:ascii="Times New Roman" w:hAnsi="Times New Roman" w:cs="Times New Roman"/>
                <w:i/>
                <w:sz w:val="24"/>
                <w:szCs w:val="24"/>
              </w:rPr>
            </w:pPr>
            <w:r w:rsidRPr="00BE66AE">
              <w:rPr>
                <w:rFonts w:ascii="Times New Roman" w:hAnsi="Times New Roman" w:cs="Times New Roman"/>
                <w:sz w:val="24"/>
                <w:szCs w:val="24"/>
              </w:rPr>
              <w:t xml:space="preserve"> </w:t>
            </w:r>
            <w:r w:rsidRPr="00BE66AE">
              <w:rPr>
                <w:rFonts w:ascii="Times New Roman" w:hAnsi="Times New Roman" w:cs="Times New Roman"/>
                <w:i/>
                <w:sz w:val="24"/>
                <w:szCs w:val="24"/>
              </w:rPr>
              <w:t xml:space="preserve">* </w:t>
            </w:r>
            <w:proofErr w:type="gramStart"/>
            <w:r w:rsidRPr="00BE66AE">
              <w:rPr>
                <w:rFonts w:ascii="Times New Roman" w:hAnsi="Times New Roman" w:cs="Times New Roman"/>
                <w:i/>
                <w:sz w:val="24"/>
                <w:szCs w:val="24"/>
              </w:rPr>
              <w:t>В</w:t>
            </w:r>
            <w:proofErr w:type="gramEnd"/>
            <w:r w:rsidRPr="00BE66AE">
              <w:rPr>
                <w:rFonts w:ascii="Times New Roman" w:hAnsi="Times New Roman" w:cs="Times New Roman"/>
                <w:i/>
                <w:sz w:val="24"/>
                <w:szCs w:val="24"/>
              </w:rPr>
              <w:t xml:space="preserve"> случае, если лицу, имеющему право на получение выплаты открыт счет в иностранном </w:t>
            </w:r>
            <w:r w:rsidRPr="00BE66AE">
              <w:rPr>
                <w:rFonts w:ascii="Times New Roman" w:hAnsi="Times New Roman" w:cs="Times New Roman"/>
                <w:i/>
                <w:sz w:val="24"/>
                <w:szCs w:val="24"/>
              </w:rPr>
              <w:lastRenderedPageBreak/>
              <w:t xml:space="preserve">банке, то указывается корреспондентский счет, открытый иностранному банку в российском банке                  </w:t>
            </w:r>
          </w:p>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c>
          <w:tcPr>
            <w:tcW w:w="4536"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p>
        </w:tc>
      </w:tr>
      <w:tr w:rsidR="00F61065" w:rsidRPr="00BE66AE" w:rsidTr="00CB432F">
        <w:tc>
          <w:tcPr>
            <w:tcW w:w="9243" w:type="dxa"/>
            <w:gridSpan w:val="3"/>
          </w:tcPr>
          <w:p w:rsidR="00F61065" w:rsidRPr="00BE66AE" w:rsidRDefault="00F61065" w:rsidP="00CB432F">
            <w:pPr>
              <w:tabs>
                <w:tab w:val="left" w:pos="1134"/>
                <w:tab w:val="left" w:pos="2160"/>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 xml:space="preserve">Информация о передаче сведений о выплатах иностранному депозитарию, указанному в документах, представленных Заявителем, в качестве вышестоящего в цепочке депозитарного учета, на банковский счет типа "С" которого денежные средства подлежат зачислению в соответствии с пунктом 1.6 Решения от 23.12.2022 </w:t>
            </w:r>
          </w:p>
        </w:tc>
      </w:tr>
      <w:tr w:rsidR="00F61065" w:rsidRPr="00BE66AE" w:rsidTr="00CB432F">
        <w:tc>
          <w:tcPr>
            <w:tcW w:w="880" w:type="dxa"/>
          </w:tcPr>
          <w:p w:rsidR="00F61065" w:rsidRPr="00BE66AE" w:rsidRDefault="00F61065" w:rsidP="00F6106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F61065" w:rsidRPr="00BE66AE" w:rsidRDefault="00F6106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Прошу  передать Иностранному депозитарию,</w:t>
            </w:r>
            <w:r w:rsidRPr="00BE66AE">
              <w:rPr>
                <w:rFonts w:ascii="Times New Roman" w:hAnsi="Times New Roman" w:cs="Times New Roman"/>
                <w:b/>
                <w:sz w:val="24"/>
                <w:szCs w:val="24"/>
              </w:rPr>
              <w:t xml:space="preserve"> указанному в представленных мною документах, в качестве вышестоящего в цепочке депозитарного учета, на банковский счет типа "С" которого денежные средства подлежат зачислению в соответствии с пунктом 1.6 Решения от 23.12.2022 </w:t>
            </w:r>
            <w:r w:rsidRPr="00BE66AE">
              <w:rPr>
                <w:rFonts w:ascii="Times New Roman" w:hAnsi="Times New Roman" w:cs="Times New Roman"/>
                <w:sz w:val="24"/>
                <w:szCs w:val="24"/>
              </w:rPr>
              <w:t>информацию об осуществлении мне Выплаты по Ценным бумагам с указанием схемы хранения ценных бумаг, включая Иностранный депозитарий, осуществляющий учет прав на Ценные бумаги, и все Иностранные депозитарии, в которых открыты счета лиц, действующих в интересах других лиц, на которых учитываются права на Ценные бумаги на Дату фиксации</w:t>
            </w:r>
          </w:p>
          <w:p w:rsidR="00F61065" w:rsidRPr="00BE66AE" w:rsidRDefault="00F61065" w:rsidP="00CB432F">
            <w:pPr>
              <w:tabs>
                <w:tab w:val="left" w:pos="1134"/>
                <w:tab w:val="left" w:pos="2160"/>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(не применимо для Выплат по Ценным бумагам в виде дивидендов по акциям российского акционерного общества)</w:t>
            </w:r>
          </w:p>
        </w:tc>
        <w:tc>
          <w:tcPr>
            <w:tcW w:w="4536" w:type="dxa"/>
          </w:tcPr>
          <w:p w:rsidR="00F61065" w:rsidRPr="00BE66AE" w:rsidRDefault="00F61065" w:rsidP="00F61065">
            <w:pPr>
              <w:pStyle w:val="a6"/>
              <w:numPr>
                <w:ilvl w:val="0"/>
                <w:numId w:val="1"/>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ДА</w:t>
            </w:r>
          </w:p>
          <w:p w:rsidR="00F61065" w:rsidRPr="00BE66AE" w:rsidRDefault="00F61065" w:rsidP="00F61065">
            <w:pPr>
              <w:pStyle w:val="a6"/>
              <w:numPr>
                <w:ilvl w:val="0"/>
                <w:numId w:val="1"/>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НЕТ</w:t>
            </w:r>
          </w:p>
        </w:tc>
      </w:tr>
    </w:tbl>
    <w:p w:rsidR="00F61065" w:rsidRPr="00BE66AE" w:rsidRDefault="00F61065" w:rsidP="00F61065">
      <w:pPr>
        <w:tabs>
          <w:tab w:val="left" w:pos="1134"/>
          <w:tab w:val="left" w:pos="9356"/>
        </w:tabs>
        <w:ind w:left="851" w:right="-1" w:hanging="851"/>
        <w:jc w:val="both"/>
        <w:rPr>
          <w:rFonts w:ascii="Times New Roman" w:hAnsi="Times New Roman" w:cs="Times New Roman"/>
          <w:sz w:val="24"/>
          <w:szCs w:val="24"/>
          <w:lang w:val="en-US"/>
        </w:rPr>
      </w:pPr>
    </w:p>
    <w:p w:rsidR="00F61065" w:rsidRPr="00BE66AE" w:rsidRDefault="00F61065" w:rsidP="00F61065">
      <w:pPr>
        <w:tabs>
          <w:tab w:val="left" w:pos="1134"/>
          <w:tab w:val="left" w:pos="9356"/>
        </w:tabs>
        <w:spacing w:after="0" w:line="240" w:lineRule="auto"/>
        <w:ind w:right="-1"/>
        <w:jc w:val="both"/>
        <w:rPr>
          <w:rFonts w:ascii="Times New Roman" w:eastAsia="Calibri" w:hAnsi="Times New Roman" w:cs="Times New Roman"/>
          <w:sz w:val="24"/>
          <w:szCs w:val="24"/>
        </w:rPr>
      </w:pPr>
      <w:r w:rsidRPr="00BE66AE">
        <w:rPr>
          <w:rFonts w:ascii="Times New Roman" w:eastAsia="Calibri" w:hAnsi="Times New Roman" w:cs="Times New Roman"/>
          <w:sz w:val="24"/>
          <w:szCs w:val="24"/>
        </w:rPr>
        <w:t>Перечень прилагаемых документов:</w:t>
      </w:r>
    </w:p>
    <w:p w:rsidR="00F61065" w:rsidRPr="00BE66AE" w:rsidRDefault="00F61065" w:rsidP="00F61065">
      <w:pPr>
        <w:pStyle w:val="a6"/>
        <w:numPr>
          <w:ilvl w:val="0"/>
          <w:numId w:val="3"/>
        </w:numPr>
        <w:tabs>
          <w:tab w:val="left" w:pos="1134"/>
          <w:tab w:val="left" w:pos="9356"/>
        </w:tabs>
        <w:spacing w:after="0" w:line="240" w:lineRule="auto"/>
        <w:ind w:right="-1"/>
        <w:jc w:val="both"/>
        <w:rPr>
          <w:rFonts w:ascii="Times New Roman" w:eastAsia="Calibri" w:hAnsi="Times New Roman" w:cs="Times New Roman"/>
          <w:sz w:val="24"/>
          <w:szCs w:val="24"/>
        </w:rPr>
      </w:pPr>
    </w:p>
    <w:p w:rsidR="00F61065" w:rsidRPr="00BE66AE" w:rsidRDefault="00F61065" w:rsidP="00F61065">
      <w:pPr>
        <w:pStyle w:val="a6"/>
        <w:numPr>
          <w:ilvl w:val="0"/>
          <w:numId w:val="3"/>
        </w:num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F61065" w:rsidRPr="00BE66AE" w:rsidTr="00CB432F">
        <w:tc>
          <w:tcPr>
            <w:tcW w:w="3546" w:type="dxa"/>
          </w:tcPr>
          <w:p w:rsidR="00F61065" w:rsidRPr="00BE66AE" w:rsidRDefault="00F61065" w:rsidP="00CB432F">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lastRenderedPageBreak/>
              <w:t>___________________________</w:t>
            </w:r>
          </w:p>
          <w:p w:rsidR="00F61065" w:rsidRPr="00BE66AE" w:rsidRDefault="00F61065" w:rsidP="00CB432F">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(должность</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ФИО)</w:t>
            </w:r>
          </w:p>
        </w:tc>
        <w:tc>
          <w:tcPr>
            <w:tcW w:w="2831" w:type="dxa"/>
          </w:tcPr>
          <w:p w:rsidR="00F61065" w:rsidRPr="00BE66AE" w:rsidRDefault="00F61065" w:rsidP="00CB432F">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t>_____________________</w:t>
            </w:r>
          </w:p>
          <w:p w:rsidR="00F61065" w:rsidRPr="00BE66AE" w:rsidRDefault="00F61065" w:rsidP="00CB432F">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(подпись)</w:t>
            </w:r>
          </w:p>
        </w:tc>
        <w:tc>
          <w:tcPr>
            <w:tcW w:w="2553" w:type="dxa"/>
          </w:tcPr>
          <w:p w:rsidR="00F61065" w:rsidRPr="00BE66AE" w:rsidRDefault="00F61065" w:rsidP="00CB432F">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___________________</w:t>
            </w:r>
          </w:p>
          <w:p w:rsidR="00F61065" w:rsidRPr="00BE66AE" w:rsidRDefault="00F61065" w:rsidP="00CB432F">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(дата)</w:t>
            </w:r>
            <w:r w:rsidRPr="00BE66AE">
              <w:rPr>
                <w:rStyle w:val="a8"/>
                <w:rFonts w:ascii="Times New Roman" w:hAnsi="Times New Roman" w:cs="Times New Roman"/>
                <w:sz w:val="24"/>
                <w:szCs w:val="24"/>
              </w:rPr>
              <w:footnoteReference w:id="2"/>
            </w:r>
          </w:p>
        </w:tc>
      </w:tr>
    </w:tbl>
    <w:p w:rsidR="00F61065" w:rsidRPr="00BE66AE" w:rsidRDefault="00F61065" w:rsidP="00F61065"/>
    <w:p w:rsidR="00AB36A6" w:rsidRDefault="00AB36A6">
      <w:bookmarkStart w:id="0" w:name="_GoBack"/>
      <w:bookmarkEnd w:id="0"/>
    </w:p>
    <w:sectPr w:rsidR="00AB36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065" w:rsidRDefault="00F61065" w:rsidP="00F61065">
      <w:pPr>
        <w:spacing w:after="0" w:line="240" w:lineRule="auto"/>
      </w:pPr>
      <w:r>
        <w:separator/>
      </w:r>
    </w:p>
  </w:endnote>
  <w:endnote w:type="continuationSeparator" w:id="0">
    <w:p w:rsidR="00F61065" w:rsidRDefault="00F61065" w:rsidP="00F6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065" w:rsidRDefault="00F61065" w:rsidP="00F61065">
      <w:pPr>
        <w:spacing w:after="0" w:line="240" w:lineRule="auto"/>
      </w:pPr>
      <w:r>
        <w:separator/>
      </w:r>
    </w:p>
  </w:footnote>
  <w:footnote w:type="continuationSeparator" w:id="0">
    <w:p w:rsidR="00F61065" w:rsidRDefault="00F61065" w:rsidP="00F61065">
      <w:pPr>
        <w:spacing w:after="0" w:line="240" w:lineRule="auto"/>
      </w:pPr>
      <w:r>
        <w:continuationSeparator/>
      </w:r>
    </w:p>
  </w:footnote>
  <w:footnote w:id="1">
    <w:p w:rsidR="00F61065" w:rsidRPr="006608A6" w:rsidRDefault="00F61065" w:rsidP="00F61065">
      <w:pPr>
        <w:tabs>
          <w:tab w:val="left" w:pos="1134"/>
          <w:tab w:val="left" w:pos="9356"/>
        </w:tabs>
        <w:spacing w:after="0" w:line="240" w:lineRule="auto"/>
        <w:ind w:right="-1"/>
        <w:jc w:val="both"/>
        <w:rPr>
          <w:rFonts w:ascii="Times New Roman" w:hAnsi="Times New Roman" w:cs="Times New Roman"/>
          <w:sz w:val="20"/>
          <w:szCs w:val="20"/>
        </w:rPr>
      </w:pPr>
      <w:r w:rsidRPr="00E9327B">
        <w:rPr>
          <w:rStyle w:val="a8"/>
        </w:rPr>
        <w:footnoteRef/>
      </w:r>
      <w:r w:rsidRPr="00E9327B">
        <w:t xml:space="preserve"> </w:t>
      </w:r>
      <w:r w:rsidRPr="001D0BF9">
        <w:rPr>
          <w:rFonts w:ascii="Times New Roman" w:hAnsi="Times New Roman" w:cs="Times New Roman"/>
          <w:sz w:val="20"/>
          <w:szCs w:val="20"/>
        </w:rPr>
        <w:t>Для пересчета в штуки количества облигаций, выраженного в валюте по номинальной стоимости, можно разделить такое количество на номинальную стоимость одной облигации.</w:t>
      </w:r>
    </w:p>
    <w:p w:rsidR="00F61065" w:rsidRDefault="00F61065" w:rsidP="00F61065">
      <w:pPr>
        <w:pStyle w:val="a4"/>
      </w:pPr>
    </w:p>
    <w:p w:rsidR="00F61065" w:rsidRDefault="00F61065" w:rsidP="00F61065">
      <w:pPr>
        <w:pStyle w:val="a4"/>
      </w:pPr>
    </w:p>
  </w:footnote>
  <w:footnote w:id="2">
    <w:p w:rsidR="00F61065" w:rsidRPr="002278C4" w:rsidRDefault="00F61065" w:rsidP="00F61065">
      <w:pPr>
        <w:pStyle w:val="a4"/>
        <w:jc w:val="both"/>
        <w:rPr>
          <w:rFonts w:ascii="Times New Roman" w:hAnsi="Times New Roman"/>
        </w:rPr>
      </w:pPr>
      <w:r w:rsidRPr="002278C4">
        <w:rPr>
          <w:rStyle w:val="a8"/>
          <w:rFonts w:ascii="Times New Roman" w:hAnsi="Times New Roman"/>
        </w:rPr>
        <w:footnoteRef/>
      </w:r>
      <w:r w:rsidRPr="002278C4">
        <w:rPr>
          <w:rFonts w:ascii="Times New Roman" w:hAnsi="Times New Roman"/>
        </w:rPr>
        <w:t xml:space="preserve"> Указывается в случае предоставления Заявления о </w:t>
      </w:r>
      <w:r>
        <w:rPr>
          <w:rFonts w:ascii="Times New Roman" w:hAnsi="Times New Roman"/>
        </w:rPr>
        <w:t xml:space="preserve">выплате по ценным бумагам </w:t>
      </w:r>
      <w:r w:rsidRPr="002278C4">
        <w:rPr>
          <w:rFonts w:ascii="Times New Roman" w:hAnsi="Times New Roman"/>
        </w:rPr>
        <w:t>на бумажном носителе и исключается в случае его направления через СЭД НРД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73F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E61816"/>
    <w:multiLevelType w:val="hybridMultilevel"/>
    <w:tmpl w:val="82FC7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72"/>
    <w:rsid w:val="004E4172"/>
    <w:rsid w:val="00AB36A6"/>
    <w:rsid w:val="00F6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9DBB6-EB0B-40A6-906A-7DCDBC3F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065"/>
    <w:pPr>
      <w:spacing w:after="200" w:line="276" w:lineRule="auto"/>
    </w:pPr>
  </w:style>
  <w:style w:type="paragraph" w:styleId="1">
    <w:name w:val="heading 1"/>
    <w:basedOn w:val="a"/>
    <w:next w:val="a"/>
    <w:link w:val="10"/>
    <w:uiPriority w:val="9"/>
    <w:qFormat/>
    <w:rsid w:val="00F61065"/>
    <w:pPr>
      <w:keepNext/>
      <w:keepLines/>
      <w:spacing w:before="240" w:after="0"/>
      <w:outlineLvl w:val="0"/>
    </w:pPr>
    <w:rPr>
      <w:rFonts w:ascii="Times New Roman" w:eastAsiaTheme="majorEastAsia" w:hAnsi="Times New Roman" w:cstheme="majorBidi"/>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065"/>
    <w:rPr>
      <w:rFonts w:ascii="Times New Roman" w:eastAsiaTheme="majorEastAsia" w:hAnsi="Times New Roman" w:cstheme="majorBidi"/>
      <w:sz w:val="24"/>
      <w:szCs w:val="32"/>
    </w:rPr>
  </w:style>
  <w:style w:type="table" w:styleId="a3">
    <w:name w:val="Table Grid"/>
    <w:basedOn w:val="a1"/>
    <w:uiPriority w:val="39"/>
    <w:rsid w:val="00F61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F61065"/>
    <w:rPr>
      <w:rFonts w:ascii="Calibri" w:eastAsia="Calibri" w:hAnsi="Calibri" w:cs="Times New Roman"/>
      <w:sz w:val="20"/>
      <w:szCs w:val="20"/>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F61065"/>
    <w:rPr>
      <w:rFonts w:ascii="Calibri" w:eastAsia="Calibri" w:hAnsi="Calibri" w:cs="Times New Roman"/>
      <w:sz w:val="20"/>
      <w:szCs w:val="20"/>
    </w:rPr>
  </w:style>
  <w:style w:type="paragraph" w:styleId="a6">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
    <w:link w:val="a7"/>
    <w:uiPriority w:val="34"/>
    <w:qFormat/>
    <w:rsid w:val="00F61065"/>
    <w:pPr>
      <w:spacing w:before="100"/>
      <w:ind w:left="720"/>
      <w:contextualSpacing/>
    </w:pPr>
    <w:rPr>
      <w:rFonts w:eastAsiaTheme="minorEastAsia"/>
      <w:sz w:val="20"/>
      <w:szCs w:val="20"/>
    </w:rPr>
  </w:style>
  <w:style w:type="character" w:customStyle="1" w:styleId="a7">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0"/>
    <w:link w:val="a6"/>
    <w:uiPriority w:val="34"/>
    <w:qFormat/>
    <w:locked/>
    <w:rsid w:val="00F61065"/>
    <w:rPr>
      <w:rFonts w:eastAsiaTheme="minorEastAsia"/>
      <w:sz w:val="20"/>
      <w:szCs w:val="20"/>
    </w:rPr>
  </w:style>
  <w:style w:type="character" w:styleId="a8">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F610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1259</Words>
  <Characters>7181</Characters>
  <Application>Microsoft Office Word</Application>
  <DocSecurity>0</DocSecurity>
  <Lines>59</Lines>
  <Paragraphs>16</Paragraphs>
  <ScaleCrop>false</ScaleCrop>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Мнацаканян Алина Васильевна</dc:creator>
  <cp:keywords/>
  <dc:description/>
  <cp:lastModifiedBy>Мнацаканян Алина Васильевна</cp:lastModifiedBy>
  <cp:revision>2</cp:revision>
  <dcterms:created xsi:type="dcterms:W3CDTF">2023-10-03T07:47:00Z</dcterms:created>
  <dcterms:modified xsi:type="dcterms:W3CDTF">2023-10-03T07:50:00Z</dcterms:modified>
</cp:coreProperties>
</file>